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D0C6" w14:textId="4766BFB4" w:rsidR="008F1F08" w:rsidRDefault="008F1F08" w:rsidP="0016391C">
      <w:pPr>
        <w:pStyle w:val="Nagwek1"/>
        <w:jc w:val="center"/>
        <w:rPr>
          <w:b/>
          <w:bCs/>
        </w:rPr>
      </w:pPr>
      <w:r w:rsidRPr="0016391C">
        <w:rPr>
          <w:b/>
          <w:bCs/>
        </w:rPr>
        <w:t>PRIORYTETY RADY RYNKU PRACY WYDATKOWANIA REZERWY KFS</w:t>
      </w:r>
    </w:p>
    <w:p w14:paraId="4CCACFE6" w14:textId="77777777" w:rsidR="0016391C" w:rsidRPr="0016391C" w:rsidRDefault="0016391C" w:rsidP="0016391C"/>
    <w:p w14:paraId="753AF5D9" w14:textId="2026A4FA" w:rsidR="008F1F08" w:rsidRDefault="008F1F08" w:rsidP="008F1F08">
      <w:pPr>
        <w:jc w:val="both"/>
      </w:pPr>
      <w:r w:rsidRPr="0016391C">
        <w:rPr>
          <w:b/>
          <w:bCs/>
          <w:highlight w:val="cyan"/>
        </w:rPr>
        <w:t>Priorytet 1</w:t>
      </w:r>
      <w:r w:rsidR="0016391C" w:rsidRPr="0016391C">
        <w:rPr>
          <w:b/>
          <w:bCs/>
          <w:highlight w:val="cyan"/>
        </w:rPr>
        <w:t>:</w:t>
      </w:r>
      <w:r w:rsidRPr="0016391C">
        <w:rPr>
          <w:highlight w:val="cyan"/>
        </w:rPr>
        <w:t xml:space="preserve"> </w:t>
      </w:r>
      <w:r w:rsidR="00F61A30" w:rsidRPr="00F61A30">
        <w:rPr>
          <w:highlight w:val="cyan"/>
        </w:rPr>
        <w:t>Wsparcie kształcenia ustawicznego osób po 50 roku życia</w:t>
      </w:r>
      <w:r w:rsidR="00F61A30" w:rsidRPr="00F61A30">
        <w:rPr>
          <w:highlight w:val="cyan"/>
        </w:rPr>
        <w:t>.</w:t>
      </w:r>
    </w:p>
    <w:p w14:paraId="5FBFE62E" w14:textId="4A50E3D4" w:rsidR="00F61A30" w:rsidRPr="00F61A30" w:rsidRDefault="00F61A30" w:rsidP="00F61A30">
      <w:pPr>
        <w:spacing w:after="0" w:line="240" w:lineRule="auto"/>
        <w:jc w:val="both"/>
      </w:pPr>
      <w:r w:rsidRPr="00F61A30">
        <w:t>W ramach niniejszego priorytetu środki KFS będą mogły sfinansować kształcenie ustawiczne</w:t>
      </w:r>
      <w:r>
        <w:t xml:space="preserve"> </w:t>
      </w:r>
      <w:r w:rsidRPr="00F61A30">
        <w:t>osób wyłącznie w wieku powyżej 50 roku życia (zarówno pracodawców jak i pracowników).</w:t>
      </w:r>
      <w:r>
        <w:t xml:space="preserve"> </w:t>
      </w:r>
      <w:r w:rsidRPr="00F61A30">
        <w:t>Decyduje wiek osoby, która skorzysta z wybranej formy kształcenia ustawicznego,</w:t>
      </w:r>
      <w:r>
        <w:t xml:space="preserve"> </w:t>
      </w:r>
      <w:r w:rsidRPr="00F61A30">
        <w:t>w momencie składania przez pracodawcę wniosku o dofinansowanie w PUP.</w:t>
      </w:r>
    </w:p>
    <w:p w14:paraId="30B868A7" w14:textId="0A3AA9DA" w:rsidR="00F61A30" w:rsidRPr="00F61A30" w:rsidRDefault="00F61A30" w:rsidP="00F61A30">
      <w:pPr>
        <w:spacing w:after="0" w:line="240" w:lineRule="auto"/>
        <w:jc w:val="both"/>
      </w:pPr>
      <w:r w:rsidRPr="00F61A30">
        <w:t>Temat szkolenia/kursu nie jest narzucony z góry. W uzasadnieniu należy wykazać potrzebę</w:t>
      </w:r>
      <w:r>
        <w:t xml:space="preserve"> </w:t>
      </w:r>
      <w:r w:rsidRPr="00F61A30">
        <w:t>nabycia umiejętności.</w:t>
      </w:r>
    </w:p>
    <w:p w14:paraId="340CB572" w14:textId="77777777" w:rsidR="00F61A30" w:rsidRDefault="00F61A30" w:rsidP="00F61A30">
      <w:pPr>
        <w:jc w:val="both"/>
        <w:rPr>
          <w:b/>
          <w:bCs/>
          <w:highlight w:val="cyan"/>
          <w:u w:val="single"/>
        </w:rPr>
      </w:pPr>
    </w:p>
    <w:p w14:paraId="1A7EA852" w14:textId="7121AD92" w:rsidR="0016391C" w:rsidRPr="0016391C" w:rsidRDefault="00F61A30" w:rsidP="00F61A30">
      <w:pPr>
        <w:jc w:val="both"/>
        <w:rPr>
          <w:highlight w:val="cyan"/>
        </w:rPr>
      </w:pPr>
      <w:r w:rsidRPr="00F61A30">
        <w:rPr>
          <w:b/>
          <w:bCs/>
          <w:highlight w:val="cyan"/>
          <w:u w:val="single"/>
        </w:rPr>
        <w:t xml:space="preserve"> </w:t>
      </w:r>
      <w:r w:rsidR="008F1F08" w:rsidRPr="0016391C">
        <w:rPr>
          <w:b/>
          <w:bCs/>
          <w:highlight w:val="cyan"/>
        </w:rPr>
        <w:t>Priorytet 2</w:t>
      </w:r>
      <w:r w:rsidR="0016391C" w:rsidRPr="0016391C">
        <w:rPr>
          <w:b/>
          <w:bCs/>
          <w:highlight w:val="cyan"/>
        </w:rPr>
        <w:t>:</w:t>
      </w:r>
      <w:r w:rsidR="008F1F08" w:rsidRPr="0016391C">
        <w:rPr>
          <w:highlight w:val="cyan"/>
        </w:rPr>
        <w:t xml:space="preserve"> Wsparcie kształcenia ustawicznego osób z orzeczonym stopniem niepełnosprawności</w:t>
      </w:r>
      <w:r w:rsidR="0016391C" w:rsidRPr="0016391C">
        <w:rPr>
          <w:highlight w:val="cyan"/>
        </w:rPr>
        <w:t>.</w:t>
      </w:r>
    </w:p>
    <w:p w14:paraId="024A7C10" w14:textId="539B3118" w:rsidR="008F1F08" w:rsidRDefault="008F1F08" w:rsidP="008F1F08">
      <w:pPr>
        <w:jc w:val="both"/>
      </w:pPr>
      <w:r>
        <w:t>Wnioskodawca składający wniosek o środki w ramach powyższego priorytetu powinien udowodnić posiadanie przez kandydata na szkolenie orzeczenia o niepełnosprawności tj. przedstawić orzeczenie o</w:t>
      </w:r>
      <w:r w:rsidR="00F61A30">
        <w:t> </w:t>
      </w:r>
      <w:r w:rsidRPr="00F61A30">
        <w:t>niepełnosprawności</w:t>
      </w:r>
      <w:r>
        <w:t xml:space="preserve"> kandydata na szkolenie bądź oświadczenie o posiadaniu takiego orzeczenia.  Temat szkolenia/kursu nie jest narzucony z góry. W uzasadnieniu należy wykazać potrzebę nabycia umiejętności. </w:t>
      </w:r>
    </w:p>
    <w:p w14:paraId="2CD3FDF1" w14:textId="0F5A82E9" w:rsidR="00F61A30" w:rsidRPr="00F61A30" w:rsidRDefault="008F1F08" w:rsidP="00F61A30">
      <w:pPr>
        <w:jc w:val="both"/>
        <w:rPr>
          <w:b/>
          <w:bCs/>
        </w:rPr>
      </w:pPr>
      <w:r w:rsidRPr="00F61A30">
        <w:rPr>
          <w:b/>
          <w:bCs/>
          <w:highlight w:val="cyan"/>
        </w:rPr>
        <w:t xml:space="preserve">Priorytet </w:t>
      </w:r>
      <w:r w:rsidR="00030592" w:rsidRPr="00F61A30">
        <w:rPr>
          <w:b/>
          <w:bCs/>
          <w:highlight w:val="cyan"/>
        </w:rPr>
        <w:t>3</w:t>
      </w:r>
      <w:r w:rsidR="00F61A30">
        <w:rPr>
          <w:b/>
          <w:bCs/>
          <w:highlight w:val="cyan"/>
        </w:rPr>
        <w:t>:</w:t>
      </w:r>
      <w:r w:rsidR="00F61A30" w:rsidRPr="00F61A30">
        <w:rPr>
          <w:highlight w:val="cyan"/>
        </w:rPr>
        <w:t xml:space="preserve"> </w:t>
      </w:r>
      <w:r w:rsidR="00F61A30" w:rsidRPr="00F61A30">
        <w:rPr>
          <w:highlight w:val="cyan"/>
        </w:rPr>
        <w:t>Wsparcie rozwoju umiejętności i kwalifikacji osób z niskim</w:t>
      </w:r>
      <w:r w:rsidR="00F61A30" w:rsidRPr="00F61A30">
        <w:rPr>
          <w:highlight w:val="cyan"/>
        </w:rPr>
        <w:t xml:space="preserve"> w</w:t>
      </w:r>
      <w:r w:rsidR="00F61A30" w:rsidRPr="00F61A30">
        <w:rPr>
          <w:highlight w:val="cyan"/>
        </w:rPr>
        <w:t>ykształceniem</w:t>
      </w:r>
      <w:r w:rsidR="00F61A30" w:rsidRPr="00F61A30">
        <w:rPr>
          <w:b/>
          <w:bCs/>
          <w:highlight w:val="cyan"/>
        </w:rPr>
        <w:t>.</w:t>
      </w:r>
    </w:p>
    <w:p w14:paraId="3AF236A3" w14:textId="37F6637C" w:rsidR="00F61A30" w:rsidRDefault="00F61A30" w:rsidP="00F61A30">
      <w:pPr>
        <w:spacing w:after="0"/>
        <w:jc w:val="both"/>
        <w:rPr>
          <w:b/>
          <w:bCs/>
          <w:highlight w:val="cyan"/>
        </w:rPr>
      </w:pPr>
      <w:r>
        <w:t>Ze wsparcia w ramach tego priorytetu mogą skorzystać osoby, które nie mają świadectwa</w:t>
      </w:r>
      <w:r>
        <w:t xml:space="preserve"> </w:t>
      </w:r>
      <w:r>
        <w:t>dojrzałości, w tym nie ukończyły szkoły na jakimkolwiek poziomie. Jedynym wymogiem jest</w:t>
      </w:r>
      <w:r>
        <w:t xml:space="preserve"> </w:t>
      </w:r>
      <w:r>
        <w:t>aby wnioskodawca wskazał we wniosku, że pracownik kierowany na wnioskowaną formę</w:t>
      </w:r>
      <w:r>
        <w:t xml:space="preserve"> </w:t>
      </w:r>
      <w:r>
        <w:t>kształcenia ustawicznego spełnia kryteria dostępu (np. oświadczenie). Obszar czy branża do</w:t>
      </w:r>
      <w:r>
        <w:t xml:space="preserve"> </w:t>
      </w:r>
      <w:r>
        <w:t>której należy wnioskodawca a także temat szkolenia nie jest istotny</w:t>
      </w:r>
      <w:r>
        <w:t>.</w:t>
      </w:r>
      <w:r w:rsidRPr="0016391C">
        <w:rPr>
          <w:b/>
          <w:bCs/>
          <w:highlight w:val="cyan"/>
        </w:rPr>
        <w:t xml:space="preserve"> </w:t>
      </w:r>
    </w:p>
    <w:p w14:paraId="76AA32D0" w14:textId="77777777" w:rsidR="00F61A30" w:rsidRDefault="00F61A30" w:rsidP="00F61A30">
      <w:pPr>
        <w:spacing w:after="0"/>
        <w:jc w:val="both"/>
        <w:rPr>
          <w:b/>
          <w:bCs/>
          <w:highlight w:val="cyan"/>
        </w:rPr>
      </w:pPr>
    </w:p>
    <w:p w14:paraId="13943627" w14:textId="1E8B76C9" w:rsidR="0016391C" w:rsidRPr="00F61A30" w:rsidRDefault="00030592" w:rsidP="00F61A30">
      <w:pPr>
        <w:jc w:val="both"/>
        <w:rPr>
          <w:highlight w:val="cyan"/>
        </w:rPr>
      </w:pPr>
      <w:r w:rsidRPr="0016391C">
        <w:rPr>
          <w:b/>
          <w:bCs/>
          <w:highlight w:val="cyan"/>
        </w:rPr>
        <w:t>Priorytet</w:t>
      </w:r>
      <w:r w:rsidR="0016391C" w:rsidRPr="0016391C">
        <w:rPr>
          <w:b/>
          <w:bCs/>
          <w:highlight w:val="cyan"/>
        </w:rPr>
        <w:t xml:space="preserve"> </w:t>
      </w:r>
      <w:r w:rsidRPr="0016391C">
        <w:rPr>
          <w:b/>
          <w:bCs/>
          <w:highlight w:val="cyan"/>
        </w:rPr>
        <w:t>4</w:t>
      </w:r>
      <w:r w:rsidR="0016391C" w:rsidRPr="00F61A30">
        <w:rPr>
          <w:b/>
          <w:bCs/>
          <w:highlight w:val="cyan"/>
        </w:rPr>
        <w:t>:</w:t>
      </w:r>
      <w:r w:rsidRPr="00F61A30">
        <w:rPr>
          <w:highlight w:val="cyan"/>
        </w:rPr>
        <w:t xml:space="preserve"> </w:t>
      </w:r>
      <w:r w:rsidR="00F61A30" w:rsidRPr="00F61A30">
        <w:rPr>
          <w:highlight w:val="cyan"/>
        </w:rPr>
        <w:t>Wsparcie rozwoju umiejętności i kwalifikacji w obszarach/branżach,</w:t>
      </w:r>
      <w:r w:rsidR="00F61A30">
        <w:rPr>
          <w:highlight w:val="cyan"/>
        </w:rPr>
        <w:t xml:space="preserve"> </w:t>
      </w:r>
      <w:r w:rsidR="00F61A30" w:rsidRPr="00F61A30">
        <w:rPr>
          <w:highlight w:val="cyan"/>
        </w:rPr>
        <w:t>które powiatowe urzędy pracy określą na podstawie wybranych przez siebie</w:t>
      </w:r>
      <w:r w:rsidR="00F61A30">
        <w:rPr>
          <w:highlight w:val="cyan"/>
        </w:rPr>
        <w:t xml:space="preserve"> </w:t>
      </w:r>
      <w:r w:rsidR="00F61A30" w:rsidRPr="00F61A30">
        <w:rPr>
          <w:highlight w:val="cyan"/>
        </w:rPr>
        <w:t>dokumentów strategicznych, analiz czy planów rozwoju jako istotne dla danego</w:t>
      </w:r>
      <w:r w:rsidR="00F61A30">
        <w:rPr>
          <w:highlight w:val="cyan"/>
        </w:rPr>
        <w:t xml:space="preserve"> </w:t>
      </w:r>
      <w:r w:rsidR="00F61A30" w:rsidRPr="00F61A30">
        <w:rPr>
          <w:highlight w:val="cyan"/>
        </w:rPr>
        <w:t>powiatu czy województwa</w:t>
      </w:r>
      <w:r w:rsidR="0016391C" w:rsidRPr="00F61A30">
        <w:rPr>
          <w:highlight w:val="cyan"/>
        </w:rPr>
        <w:t>.</w:t>
      </w:r>
    </w:p>
    <w:p w14:paraId="4C51D50E" w14:textId="1ADC1A89" w:rsidR="00030592" w:rsidRDefault="00030592" w:rsidP="00030592">
      <w:pPr>
        <w:jc w:val="both"/>
        <w:rPr>
          <w:rFonts w:eastAsia="Calibri" w:cstheme="minorHAnsi"/>
        </w:rPr>
      </w:pPr>
      <w:r w:rsidRPr="002160A8">
        <w:rPr>
          <w:rFonts w:eastAsia="Calibri" w:cstheme="minorHAnsi"/>
        </w:rPr>
        <w:t xml:space="preserve">Powiatowy Urząd Pracy w </w:t>
      </w:r>
      <w:r>
        <w:rPr>
          <w:rFonts w:eastAsia="Calibri" w:cstheme="minorHAnsi"/>
        </w:rPr>
        <w:t>Mońkach</w:t>
      </w:r>
      <w:r w:rsidRPr="002160A8">
        <w:rPr>
          <w:rFonts w:eastAsia="Calibri" w:cstheme="minorHAnsi"/>
        </w:rPr>
        <w:t xml:space="preserve"> określając obszary/branże kluczowe dla rozwoju powiatu/województwa wziął pod uwagę</w:t>
      </w:r>
      <w:r w:rsidRPr="002160A8">
        <w:rPr>
          <w:rFonts w:eastAsia="Calibri" w:cstheme="minorHAnsi"/>
          <w:color w:val="FF0000"/>
        </w:rPr>
        <w:t xml:space="preserve"> </w:t>
      </w:r>
      <w:hyperlink r:id="rId5" w:history="1">
        <w:r w:rsidRPr="002160A8">
          <w:rPr>
            <w:rFonts w:eastAsia="Calibri" w:cstheme="minorHAnsi"/>
            <w:color w:val="0563C1"/>
            <w:u w:val="single"/>
          </w:rPr>
          <w:t>Strategię rozwoju województwa podlaskiego 2030</w:t>
        </w:r>
      </w:hyperlink>
      <w:r w:rsidRPr="002160A8">
        <w:rPr>
          <w:rFonts w:eastAsia="Calibri" w:cstheme="minorHAnsi"/>
        </w:rPr>
        <w:t>.</w:t>
      </w:r>
    </w:p>
    <w:p w14:paraId="7A676A40" w14:textId="0F2EE760" w:rsidR="00030592" w:rsidRPr="002160A8" w:rsidRDefault="00030592" w:rsidP="00030592">
      <w:pPr>
        <w:jc w:val="both"/>
        <w:rPr>
          <w:rFonts w:cstheme="minorHAnsi"/>
          <w:b/>
          <w:noProof/>
        </w:rPr>
      </w:pPr>
      <w:r w:rsidRPr="002160A8">
        <w:rPr>
          <w:rFonts w:cstheme="minorHAnsi"/>
          <w:noProof/>
        </w:rPr>
        <w:t xml:space="preserve">Obszary/branże kluczowe dla rozwoju województwa, w tym </w:t>
      </w:r>
      <w:r w:rsidR="00DA406A">
        <w:rPr>
          <w:rFonts w:cstheme="minorHAnsi"/>
          <w:noProof/>
        </w:rPr>
        <w:t>powiatu monieckiego</w:t>
      </w:r>
      <w:r>
        <w:rPr>
          <w:rFonts w:cstheme="minorHAnsi"/>
          <w:noProof/>
        </w:rPr>
        <w:t xml:space="preserve"> </w:t>
      </w:r>
      <w:r w:rsidRPr="002160A8">
        <w:rPr>
          <w:rFonts w:cstheme="minorHAnsi"/>
          <w:noProof/>
        </w:rPr>
        <w:t>to:</w:t>
      </w:r>
    </w:p>
    <w:p w14:paraId="6C64163A" w14:textId="77777777" w:rsidR="00030592" w:rsidRPr="002160A8" w:rsidRDefault="00030592" w:rsidP="00030592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noProof/>
        </w:rPr>
      </w:pPr>
      <w:r w:rsidRPr="002160A8">
        <w:rPr>
          <w:rFonts w:cstheme="minorHAnsi"/>
          <w:noProof/>
        </w:rPr>
        <w:t>rolnictwo (ekologiczne i zrównoważone);</w:t>
      </w:r>
    </w:p>
    <w:p w14:paraId="56B5AE5F" w14:textId="77777777" w:rsidR="00030592" w:rsidRPr="002160A8" w:rsidRDefault="00030592" w:rsidP="00030592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noProof/>
        </w:rPr>
      </w:pPr>
      <w:r w:rsidRPr="002160A8">
        <w:rPr>
          <w:rFonts w:cstheme="minorHAnsi"/>
          <w:noProof/>
        </w:rPr>
        <w:t>przetwórstwo rolno-spożywcze  i sektory powiązane (produkcja ekologiczna);</w:t>
      </w:r>
    </w:p>
    <w:p w14:paraId="12EF63BB" w14:textId="77777777" w:rsidR="00030592" w:rsidRPr="002160A8" w:rsidRDefault="00030592" w:rsidP="00030592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noProof/>
        </w:rPr>
      </w:pPr>
      <w:r w:rsidRPr="002160A8">
        <w:rPr>
          <w:rFonts w:cstheme="minorHAnsi"/>
          <w:noProof/>
        </w:rPr>
        <w:t>przemysł</w:t>
      </w:r>
      <w:r>
        <w:rPr>
          <w:rFonts w:cstheme="minorHAnsi"/>
          <w:noProof/>
        </w:rPr>
        <w:t xml:space="preserve"> (</w:t>
      </w:r>
      <w:r w:rsidRPr="002160A8">
        <w:rPr>
          <w:noProof/>
        </w:rPr>
        <w:t xml:space="preserve">w szczególności </w:t>
      </w:r>
      <w:r w:rsidRPr="002160A8">
        <w:rPr>
          <w:rFonts w:cstheme="minorHAnsi"/>
          <w:noProof/>
        </w:rPr>
        <w:t>metalowo-maszynowy,</w:t>
      </w:r>
      <w:r w:rsidRPr="00873E20">
        <w:rPr>
          <w:rFonts w:cstheme="minorHAnsi"/>
          <w:noProof/>
        </w:rPr>
        <w:t xml:space="preserve"> </w:t>
      </w:r>
      <w:r w:rsidRPr="002160A8">
        <w:rPr>
          <w:rFonts w:cstheme="minorHAnsi"/>
          <w:noProof/>
        </w:rPr>
        <w:t>drzewny</w:t>
      </w:r>
      <w:r>
        <w:rPr>
          <w:rFonts w:cstheme="minorHAnsi"/>
          <w:noProof/>
        </w:rPr>
        <w:t>,</w:t>
      </w:r>
      <w:r w:rsidRPr="00873E20">
        <w:rPr>
          <w:rFonts w:cstheme="minorHAnsi"/>
          <w:noProof/>
        </w:rPr>
        <w:t xml:space="preserve"> </w:t>
      </w:r>
      <w:r w:rsidRPr="002160A8">
        <w:rPr>
          <w:rFonts w:cstheme="minorHAnsi"/>
          <w:noProof/>
        </w:rPr>
        <w:t>meblarski</w:t>
      </w:r>
      <w:r>
        <w:rPr>
          <w:rFonts w:cstheme="minorHAnsi"/>
          <w:noProof/>
        </w:rPr>
        <w:t>;</w:t>
      </w:r>
    </w:p>
    <w:p w14:paraId="04D1C205" w14:textId="77777777" w:rsidR="00030592" w:rsidRPr="002160A8" w:rsidRDefault="00030592" w:rsidP="00030592">
      <w:pPr>
        <w:pStyle w:val="Akapitzlist"/>
        <w:numPr>
          <w:ilvl w:val="0"/>
          <w:numId w:val="1"/>
        </w:numPr>
        <w:spacing w:line="240" w:lineRule="auto"/>
        <w:rPr>
          <w:b/>
          <w:noProof/>
        </w:rPr>
      </w:pPr>
      <w:r w:rsidRPr="002160A8">
        <w:rPr>
          <w:noProof/>
        </w:rPr>
        <w:t>budownictwo;</w:t>
      </w:r>
    </w:p>
    <w:p w14:paraId="7E0CFF6C" w14:textId="77777777" w:rsidR="00030592" w:rsidRPr="002160A8" w:rsidRDefault="00030592" w:rsidP="00030592">
      <w:pPr>
        <w:pStyle w:val="Akapitzlist"/>
        <w:numPr>
          <w:ilvl w:val="0"/>
          <w:numId w:val="1"/>
        </w:numPr>
        <w:spacing w:line="240" w:lineRule="auto"/>
        <w:rPr>
          <w:b/>
          <w:noProof/>
        </w:rPr>
      </w:pPr>
      <w:r w:rsidRPr="002160A8">
        <w:rPr>
          <w:noProof/>
        </w:rPr>
        <w:t>produkcja energii z odnawialnych źródeł energii;</w:t>
      </w:r>
    </w:p>
    <w:p w14:paraId="53AFC89F" w14:textId="77777777" w:rsidR="00030592" w:rsidRPr="002160A8" w:rsidRDefault="00030592" w:rsidP="00030592">
      <w:pPr>
        <w:pStyle w:val="Akapitzlist"/>
        <w:numPr>
          <w:ilvl w:val="0"/>
          <w:numId w:val="1"/>
        </w:numPr>
        <w:spacing w:line="240" w:lineRule="auto"/>
        <w:rPr>
          <w:b/>
          <w:noProof/>
        </w:rPr>
      </w:pPr>
      <w:r w:rsidRPr="002160A8">
        <w:rPr>
          <w:noProof/>
        </w:rPr>
        <w:t>opieka zdrowotna i społeczna (</w:t>
      </w:r>
      <w:bookmarkStart w:id="0" w:name="_Hlk143151752"/>
      <w:r w:rsidRPr="002160A8">
        <w:rPr>
          <w:noProof/>
        </w:rPr>
        <w:t xml:space="preserve">w szczególności </w:t>
      </w:r>
      <w:bookmarkEnd w:id="0"/>
      <w:r w:rsidRPr="002160A8">
        <w:rPr>
          <w:noProof/>
        </w:rPr>
        <w:t>geriatryczna, długoterminowa, rehabilitacja, opieka nad dziećmi i osobami zależnymi itp.);</w:t>
      </w:r>
    </w:p>
    <w:p w14:paraId="19B0554E" w14:textId="77777777" w:rsidR="00030592" w:rsidRPr="002160A8" w:rsidRDefault="00030592" w:rsidP="00030592">
      <w:pPr>
        <w:pStyle w:val="Akapitzlist"/>
        <w:numPr>
          <w:ilvl w:val="0"/>
          <w:numId w:val="1"/>
        </w:numPr>
        <w:spacing w:line="240" w:lineRule="auto"/>
        <w:rPr>
          <w:b/>
          <w:noProof/>
        </w:rPr>
      </w:pPr>
      <w:r w:rsidRPr="002160A8">
        <w:rPr>
          <w:noProof/>
        </w:rPr>
        <w:t>edukacja w zakresie kompetencji cyfrowych</w:t>
      </w:r>
    </w:p>
    <w:p w14:paraId="1CC54723" w14:textId="77777777" w:rsidR="00030592" w:rsidRPr="002160A8" w:rsidRDefault="00030592" w:rsidP="00030592">
      <w:pPr>
        <w:pStyle w:val="Akapitzlist"/>
        <w:numPr>
          <w:ilvl w:val="0"/>
          <w:numId w:val="1"/>
        </w:numPr>
        <w:spacing w:line="240" w:lineRule="auto"/>
        <w:rPr>
          <w:b/>
          <w:noProof/>
        </w:rPr>
      </w:pPr>
      <w:r w:rsidRPr="002160A8">
        <w:rPr>
          <w:noProof/>
        </w:rPr>
        <w:t>edukacja pod kątem nowoczesnych metod kształcenia i potrzeb rozwijającego się regionalnego popytu na kompetencje;</w:t>
      </w:r>
    </w:p>
    <w:p w14:paraId="5746CD39" w14:textId="77777777" w:rsidR="00030592" w:rsidRPr="002160A8" w:rsidRDefault="00030592" w:rsidP="00030592">
      <w:pPr>
        <w:pStyle w:val="Akapitzlist"/>
        <w:numPr>
          <w:ilvl w:val="0"/>
          <w:numId w:val="1"/>
        </w:numPr>
        <w:spacing w:line="240" w:lineRule="auto"/>
        <w:rPr>
          <w:b/>
          <w:noProof/>
        </w:rPr>
      </w:pPr>
      <w:r w:rsidRPr="002160A8">
        <w:rPr>
          <w:noProof/>
        </w:rPr>
        <w:t>e-usługi;</w:t>
      </w:r>
    </w:p>
    <w:p w14:paraId="523BF6CC" w14:textId="77777777" w:rsidR="00030592" w:rsidRPr="002160A8" w:rsidRDefault="00030592" w:rsidP="00030592">
      <w:pPr>
        <w:pStyle w:val="Akapitzlist"/>
        <w:numPr>
          <w:ilvl w:val="0"/>
          <w:numId w:val="1"/>
        </w:numPr>
        <w:spacing w:line="240" w:lineRule="auto"/>
        <w:rPr>
          <w:b/>
          <w:noProof/>
        </w:rPr>
      </w:pPr>
      <w:r w:rsidRPr="002160A8">
        <w:rPr>
          <w:noProof/>
        </w:rPr>
        <w:t>turystyka;</w:t>
      </w:r>
    </w:p>
    <w:p w14:paraId="6177C9F2" w14:textId="77777777" w:rsidR="00030592" w:rsidRPr="002160A8" w:rsidRDefault="00030592" w:rsidP="00030592">
      <w:pPr>
        <w:pStyle w:val="Akapitzlist"/>
        <w:numPr>
          <w:ilvl w:val="0"/>
          <w:numId w:val="1"/>
        </w:numPr>
        <w:spacing w:line="240" w:lineRule="auto"/>
        <w:rPr>
          <w:b/>
          <w:noProof/>
        </w:rPr>
      </w:pPr>
      <w:r w:rsidRPr="002160A8">
        <w:rPr>
          <w:noProof/>
        </w:rPr>
        <w:t>ekonomia społeczna.</w:t>
      </w:r>
    </w:p>
    <w:p w14:paraId="4B8B40F3" w14:textId="77777777" w:rsidR="00030592" w:rsidRDefault="00030592" w:rsidP="00030592">
      <w:pPr>
        <w:jc w:val="both"/>
        <w:rPr>
          <w:rFonts w:ascii="Calibri" w:eastAsia="Calibri" w:hAnsi="Calibri" w:cs="Times New Roman"/>
          <w:bCs/>
        </w:rPr>
      </w:pPr>
      <w:r w:rsidRPr="002160A8">
        <w:rPr>
          <w:rFonts w:cstheme="minorHAnsi"/>
        </w:rPr>
        <w:lastRenderedPageBreak/>
        <w:t xml:space="preserve">Wnioskodawca składający wniosek o środki w ramach powyższego priorytetu powinien </w:t>
      </w:r>
      <w:r w:rsidRPr="002160A8">
        <w:rPr>
          <w:rFonts w:cstheme="minorHAnsi"/>
          <w:u w:val="single"/>
        </w:rPr>
        <w:t xml:space="preserve">szczegółowo </w:t>
      </w:r>
      <w:r w:rsidRPr="002160A8">
        <w:rPr>
          <w:rFonts w:ascii="Calibri" w:eastAsia="Calibri" w:hAnsi="Calibri" w:cs="Times New Roman"/>
          <w:bCs/>
          <w:u w:val="single"/>
        </w:rPr>
        <w:t>u</w:t>
      </w:r>
      <w:r>
        <w:rPr>
          <w:rFonts w:ascii="Calibri" w:eastAsia="Calibri" w:hAnsi="Calibri" w:cs="Times New Roman"/>
          <w:bCs/>
          <w:u w:val="single"/>
        </w:rPr>
        <w:t>zasadnić</w:t>
      </w:r>
      <w:r w:rsidRPr="002160A8">
        <w:rPr>
          <w:rFonts w:ascii="Calibri" w:eastAsia="Calibri" w:hAnsi="Calibri" w:cs="Times New Roman"/>
          <w:bCs/>
          <w:u w:val="single"/>
        </w:rPr>
        <w:t>,</w:t>
      </w:r>
      <w:r w:rsidRPr="002160A8">
        <w:rPr>
          <w:rFonts w:ascii="Calibri" w:eastAsia="Calibri" w:hAnsi="Calibri" w:cs="Times New Roman"/>
          <w:bCs/>
        </w:rPr>
        <w:t xml:space="preserve"> że kierunek kształcenia dotyczy obszarów/branż kluczowych dla rozwoju powiatu </w:t>
      </w:r>
      <w:r>
        <w:rPr>
          <w:rFonts w:ascii="Calibri" w:eastAsia="Calibri" w:hAnsi="Calibri" w:cs="Times New Roman"/>
          <w:bCs/>
        </w:rPr>
        <w:t>monieckiego</w:t>
      </w:r>
      <w:r w:rsidRPr="002160A8">
        <w:rPr>
          <w:rFonts w:ascii="Calibri" w:eastAsia="Calibri" w:hAnsi="Calibri" w:cs="Times New Roman"/>
          <w:bCs/>
        </w:rPr>
        <w:t>/województwa podlaskiego.</w:t>
      </w:r>
    </w:p>
    <w:sectPr w:rsidR="00030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93A41"/>
    <w:multiLevelType w:val="hybridMultilevel"/>
    <w:tmpl w:val="A2566E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5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E1"/>
    <w:rsid w:val="00030592"/>
    <w:rsid w:val="0015337A"/>
    <w:rsid w:val="0016391C"/>
    <w:rsid w:val="0020356A"/>
    <w:rsid w:val="002A3FE1"/>
    <w:rsid w:val="002B56D2"/>
    <w:rsid w:val="00355CE3"/>
    <w:rsid w:val="00566BEA"/>
    <w:rsid w:val="005B4367"/>
    <w:rsid w:val="00873E20"/>
    <w:rsid w:val="008F1F08"/>
    <w:rsid w:val="00956838"/>
    <w:rsid w:val="0097208C"/>
    <w:rsid w:val="00CC4D70"/>
    <w:rsid w:val="00CD2969"/>
    <w:rsid w:val="00DA406A"/>
    <w:rsid w:val="00EF1CCE"/>
    <w:rsid w:val="00F20733"/>
    <w:rsid w:val="00F61A30"/>
    <w:rsid w:val="00F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C529"/>
  <w15:chartTrackingRefBased/>
  <w15:docId w15:val="{F2AC10AC-B0B7-4BC1-BFBA-F9EA1008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3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73E20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locked/>
    <w:rsid w:val="00873E20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63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rategia.wrotapodlasia.pl/pl/strategia_rozwoju_wojewdztwa_podlaskiego_203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Dębowski</dc:creator>
  <cp:keywords/>
  <dc:description/>
  <cp:lastModifiedBy>Sławomir Dębowski</cp:lastModifiedBy>
  <cp:revision>2</cp:revision>
  <dcterms:created xsi:type="dcterms:W3CDTF">2025-09-03T09:46:00Z</dcterms:created>
  <dcterms:modified xsi:type="dcterms:W3CDTF">2025-09-03T09:46:00Z</dcterms:modified>
</cp:coreProperties>
</file>